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b/>
          <w:bCs/>
          <w:sz w:val="30"/>
          <w:szCs w:val="30"/>
        </w:rPr>
        <w:t>建设工程勘察设计管理条例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（2000年9月25日中华人民共和国国务院令第293号公布　根据2015年6月12日《国务院关于修改〈建设工程勘察设计管理条例〉的决定》修订）</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第一章　总　　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第一条　为了加强对建设工程勘察、设计活动的管理，保证建设工程勘察、设计质量，保护人民生命和财产安全，制定本条例。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第二条　从事建设工程勘察、设计活动，必须遵守本条例。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本条例所称建设工程勘察，是指根据建设工程的要求，查明、分析、评价建设场地的地质地理环境特征和岩土工程条件，编制建设工程勘察文件的活动。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本条例所称建设工程设计，是指根据建设工程的要求，对建设工程所需的技术、经济、资源、环境等条件进行综合分析、论证，编制建设工程设计文件的活动。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第三条　建设工程勘察、设计应当与社会、经济发展水平相适应，做到经济效益、社会效益和环境效益相统一。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第四条　从事建设工程勘察、设计活动，应当坚持先勘察、后设计、再施工的原则。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第五条　县级以上人民政府建设行政主管部门和交通、水利等有关部门应当依照本条例的规定，加强对建设工程勘察、设计活动的监督管理。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建设工程勘察、设计单位必须依法进行建设工程勘察、设计，严格执行工程建设强制性标准，并对建设工程勘察、设计的质量负责。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第六条　国家鼓励在建设工程勘察、设计活动中采用先进技术、先进工艺、先进设备、新型材料和现代管理方法。</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第二章　资质资格管理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第七条　国家对从事建设工程勘察、设计活动的单位，实行资质管理制度。具体办法由国务院建设行政主管部门商国务院有关部门制定。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第八条　建设工程勘察、设计单位应当在其资质等级许可的范围内承揽建设工程勘察、设计业务。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第九条　国家对从事建设工程勘察、设计活动的专业技术人员，实行执业资格注册管理制度。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未经注册的建设工程勘察、设计人员，不得以注册执业人员的名义从事建设工程勘察、设计活动。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第十条　建设工程勘察、设计注册执业人员和其他专业技术人员只能受聘于一个建设工程勘察、设计单位；未受聘于建设工程勘察、设计单位的，不得从事建设工程的勘察、设计活动。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第十一条　建设工程勘察、设计单位资质证书和执业人员注册证书，由国务院建设行政主管部门统一制作。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第三章　建设工程勘察设计发包与承包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第十二条　建设工程勘察、设计发包依法实行招标发包或者直接发包。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第十三条　建设工程勘察、设计应当依照《中华人民共和国招标投标法》的规定，实行招标发包。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第十四条　建设工程勘察、设计方案评标，应当以投标人的业绩、信誉和勘察、设计人员的能力以及勘察、设计方案的优劣为依据，进行综合评定。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第十五条　建设工程勘察、设计的招标人应当在评标委员会推荐的候选方案中确定中标方案。但是，建设工程勘察、设计的招标人认为评标委员会推荐的候选方案不能最大限度满足招标文件规定的要求的，应当依法重新招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第十六条　下列建设工程的勘察、设计，经有关主管部门批准，可以直接发包：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（一）采用特定的专利或者专有技术的；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（二）建筑艺术造型有特殊要求的；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（三）国务院规定的其他建设工程的勘察、设计。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第十七条　发包方不得将建设工程勘察、设计业务发包给不具有相应勘察、设计资质等级的建设工程勘察、设计单位。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第十八条　发包方可以将整个建设工程的勘察、设计发包给一个勘察、设计单位；也可以将建设工程的勘察、设计分别发包给几个勘察、设计单位。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第十九条　除建设工程主体部分的勘察、设计外，经发包方书面同意，承包方可以将建设工程其他部分的勘察、设计再分包给其他具有相应资质等级的建设工程勘察、设计单位。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第二十条　建设工程勘察、设计单位不得将所承揽的建设工程勘察、设计转包。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第二十一条　承包方必须在建设工程勘察、设计资质证书规定的资质等级和业务范围内承揽建设工程的勘察、设计业务。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第二十二条　建设工程勘察、设计的发包方与承包方，应当执行国家规定的建设工程勘察、设计程序。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第二十三条　建设工程勘察、设计的发包方与承包方应当签订建设工程勘察、设计合同。</w:t>
      </w:r>
    </w:p>
    <w:p>
      <w:pPr>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第二十四条　建设工程勘察、设计发包方与承包方应当执行国家有关建设工程勘察费、设计费的管理规定。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第四章　建设工程勘察设计文件的编制与实施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第二十五条　编制建设工程勘察、设计文件，应当以下列规定为依据：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（一）项目批准文件；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（二）城乡规划；</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（三）工程建设强制性标准；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（四）国家规定的建设工程勘察、设计深度要求。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铁路、交通、水利等专业建设工程，还应当以专业规划的要求为依据。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第二十六条　编制建设工程勘察文件，应当真实、准确，满足建设工程规划、选址、设计、岩土治理和施工的需要。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编制方案设计文件，应当满足编制初步设计文件和控制概算的需要。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编制初步设计文件，应当满足编制施工招标文件、主要设备材料订货和编制施工图设计文件的需要。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编制施工图设计文件，应当满足设备材料采购、非标准设备制作和施工的需要，并注明建设工程合理使用年限。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第二十七条　设计文件中选用的材料、构配件、设备，应当注明其规格、型号、性能等技术指标，其质量要求必须符合国家规定的标准。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除有特殊要求的建筑材料、专用设备和工艺生产线等外，设计单位不得指定生产厂、供应商。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第二十八条　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施工单位、监理单位发现建设工程勘察、设计文件不符合工程建设强制性标准、合同约定的质量要求的，应当报告建设单位，建设单位有权要求建设工程勘察、设计单位对建设工程勘察、设计文件进行补充、修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建设工程勘察、设计文件内容需要作重大修改的，建设单位应当报经原审批机关批准后，方可修改。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第三十条　建设工程勘察、设计单位应当在建设工程施工前，向施工单位和监理单位说明建设工程勘察、设计意图，解释建设工程勘察、设计文件。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建设工程勘察、设计单位应当及时解决施工中出现的勘察、设计问题。</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第五章　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第三十二条　建设工程勘察、设计单位在建设工程勘察、设计资质证书规定的业务范围内跨部门、跨地区承揽勘察、设计业务的，有关地方人民政府及其所属部门不得设置障碍，不得违反国家规定收取任何费用。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第三十三条　县级以上人民政府建设行政主管部门或者交通、水利等有关部门应当对施工图设计文件中涉及公共利益、公众安全、工程建设强制性标准的内容进行审查。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施工图设计文件未经审查批准的，不得使用。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第三十四条　任何单位和个人对建设工程勘察、设计活动中的违法行为都有权检举、控告、投诉。</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第六章　罚　　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第三十五条　违反本条例第八条规定的，责令停止违法行为，处合同约定的勘察费、设计费1倍以上2倍以下的罚款，有违法所得的，予以没收；可以责令停业整顿，降低资质等级；情节严重的，吊销资质证书。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未取得资质证书承揽工程的，予以取缔，依照前款规定处以罚款；有违法所得的，予以没收。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以欺骗手段取得资质证书承揽工程的，吊销资质证书，依照本条第一款规定处以罚款；有违法所得的，予以没收。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第三十八条　违反本条例规定，发包方将建设工程勘察、设计业务发包给不具有相应资质等级的建设工程勘察、设计单位的，责令改正，处50万元以上100万元以下的罚款。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第四十一条　违反本条例规定，有下列行为之一的，依照《建设工程质量管理条例》第六十三条的规定给予处罚：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（一）勘察单位未按照工程建设强制性标准进行勘察的；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（二）设计单位未根据勘察成果文件进行工程设计的；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（三）设计单位指定建筑材料、建筑构配件的生产厂、供应商的；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（四）设计单位未按照工程建设强制性标准进行设计的。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第四十二条　本条例规定的责令停业整顿、降低资质等级和吊销资质证书、资格证书的行政处罚，由颁发资质证书、资格证书的机关决定；其他行政处罚，由建设行政主管部门或者其他有关部门依据法定职权范围决定。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依照本条例规定被吊销资质证书的，由工商行政管理部门吊销其营业执照。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第四十三条　国家机关工作人员在建设工程勘察、设计活动的监督管理工作中玩忽职守、滥用职权、徇私舞弊，构成犯罪的，依法追究刑事责任；尚不构成犯罪的，依法给予行政处分。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bCs/>
          <w:sz w:val="28"/>
          <w:szCs w:val="28"/>
          <w:lang w:val="en-US" w:eastAsia="zh-CN"/>
        </w:rPr>
        <w:t>第七章　附　　则</w:t>
      </w:r>
    </w:p>
    <w:bookmarkEnd w:id="0"/>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第四十四条　抢险救灾及其他临时性建筑和农民自建两层以下住宅的勘察、设计活动，不适用本条例。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第四十五条　军事建设工程勘察、设计的管理，按照中央军事委员会的有关规定执行。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第四十六条　本条例自公布之日起施行。</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06FC9"/>
    <w:rsid w:val="38BC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2021-06-08T04:01:02Z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3F99C9AE689F428C91F69AA0ED3EBD8E</vt:lpwstr>
  </property>
</Properties>
</file>